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47A431" w14:textId="77777777" w:rsidR="00DF3058" w:rsidRDefault="00811D9C">
      <w:pPr>
        <w:keepNext/>
        <w:jc w:val="left"/>
        <w:rPr>
          <w:rFonts w:ascii="Arial" w:eastAsia="Arial" w:hAnsi="Arial"/>
          <w:b/>
          <w:sz w:val="36"/>
          <w:szCs w:val="36"/>
        </w:rPr>
      </w:pPr>
      <w:r>
        <w:rPr>
          <w:rFonts w:ascii="Arial" w:eastAsia="Arial" w:hAnsi="Arial"/>
          <w:b/>
          <w:sz w:val="36"/>
          <w:szCs w:val="36"/>
        </w:rPr>
        <w:t>Call-Off Schedule 16 (Benchmarking)</w:t>
      </w:r>
    </w:p>
    <w:p w14:paraId="7447A432" w14:textId="77777777" w:rsidR="00DF3058" w:rsidRDefault="00811D9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14:paraId="7447A433" w14:textId="77777777" w:rsidR="00DF3058" w:rsidRDefault="00811D9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
        <w:tblW w:w="8042" w:type="dxa"/>
        <w:tblInd w:w="1008" w:type="dxa"/>
        <w:tblLayout w:type="fixed"/>
        <w:tblLook w:val="0400" w:firstRow="0" w:lastRow="0" w:firstColumn="0" w:lastColumn="0" w:noHBand="0" w:noVBand="1"/>
      </w:tblPr>
      <w:tblGrid>
        <w:gridCol w:w="2900"/>
        <w:gridCol w:w="5142"/>
      </w:tblGrid>
      <w:tr w:rsidR="00DF3058" w14:paraId="7447A436" w14:textId="77777777">
        <w:tc>
          <w:tcPr>
            <w:tcW w:w="2900" w:type="dxa"/>
            <w:shd w:val="clear" w:color="auto" w:fill="auto"/>
          </w:tcPr>
          <w:p w14:paraId="7447A434"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 R</w:t>
            </w:r>
            <w:bookmarkStart w:id="0" w:name="_GoBack"/>
            <w:bookmarkEnd w:id="0"/>
            <w:r>
              <w:rPr>
                <w:rFonts w:ascii="Arial" w:eastAsia="Arial" w:hAnsi="Arial"/>
                <w:b/>
                <w:color w:val="000000"/>
                <w:sz w:val="24"/>
                <w:szCs w:val="24"/>
              </w:rPr>
              <w:t>eview"</w:t>
            </w:r>
          </w:p>
        </w:tc>
        <w:tc>
          <w:tcPr>
            <w:tcW w:w="5142" w:type="dxa"/>
            <w:shd w:val="clear" w:color="auto" w:fill="auto"/>
          </w:tcPr>
          <w:p w14:paraId="7447A435"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review of the Deliverables carried out in accordance with this Schedule to determine whether those Deliverables represent Good Value;</w:t>
            </w:r>
          </w:p>
        </w:tc>
      </w:tr>
      <w:tr w:rsidR="00DF3058" w14:paraId="7447A439" w14:textId="77777777">
        <w:tc>
          <w:tcPr>
            <w:tcW w:w="2900" w:type="dxa"/>
            <w:shd w:val="clear" w:color="auto" w:fill="auto"/>
          </w:tcPr>
          <w:p w14:paraId="7447A437"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"Benchmarked Deliverables"</w:t>
            </w:r>
          </w:p>
        </w:tc>
        <w:tc>
          <w:tcPr>
            <w:tcW w:w="5142" w:type="dxa"/>
            <w:shd w:val="clear" w:color="auto" w:fill="auto"/>
          </w:tcPr>
          <w:p w14:paraId="7447A438"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Deliverables included within the scope of a Benchmark Review pursuant to this Schedule;</w:t>
            </w:r>
          </w:p>
        </w:tc>
      </w:tr>
      <w:tr w:rsidR="00DF3058" w14:paraId="7447A43C" w14:textId="77777777">
        <w:tc>
          <w:tcPr>
            <w:tcW w:w="2900" w:type="dxa"/>
            <w:shd w:val="clear" w:color="auto" w:fill="auto"/>
          </w:tcPr>
          <w:p w14:paraId="7447A43A"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Rates"</w:t>
            </w:r>
          </w:p>
        </w:tc>
        <w:tc>
          <w:tcPr>
            <w:tcW w:w="5142" w:type="dxa"/>
            <w:shd w:val="clear" w:color="auto" w:fill="auto"/>
          </w:tcPr>
          <w:p w14:paraId="7447A43B"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Charges for Comparable Deliverables;</w:t>
            </w:r>
          </w:p>
        </w:tc>
      </w:tr>
      <w:tr w:rsidR="00DF3058" w14:paraId="7447A43F" w14:textId="77777777">
        <w:tc>
          <w:tcPr>
            <w:tcW w:w="2900" w:type="dxa"/>
            <w:shd w:val="clear" w:color="auto" w:fill="auto"/>
          </w:tcPr>
          <w:p w14:paraId="7447A43D"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"Comparable Deliverables"</w:t>
            </w:r>
          </w:p>
        </w:tc>
        <w:tc>
          <w:tcPr>
            <w:tcW w:w="5142" w:type="dxa"/>
            <w:shd w:val="clear" w:color="auto" w:fill="auto"/>
          </w:tcPr>
          <w:p w14:paraId="7447A43E"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DF3058" w14:paraId="7447A442" w14:textId="77777777">
        <w:tc>
          <w:tcPr>
            <w:tcW w:w="2900" w:type="dxa"/>
            <w:shd w:val="clear" w:color="auto" w:fill="auto"/>
          </w:tcPr>
          <w:p w14:paraId="7447A440"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"Comparison Group"</w:t>
            </w:r>
          </w:p>
        </w:tc>
        <w:tc>
          <w:tcPr>
            <w:tcW w:w="5142" w:type="dxa"/>
            <w:shd w:val="clear" w:color="auto" w:fill="auto"/>
          </w:tcPr>
          <w:p w14:paraId="7447A441"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DF3058" w14:paraId="7447A445" w14:textId="77777777">
        <w:tc>
          <w:tcPr>
            <w:tcW w:w="2900" w:type="dxa"/>
            <w:shd w:val="clear" w:color="auto" w:fill="auto"/>
          </w:tcPr>
          <w:p w14:paraId="7447A443"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"Equivalent Data"</w:t>
            </w:r>
          </w:p>
        </w:tc>
        <w:tc>
          <w:tcPr>
            <w:tcW w:w="5142" w:type="dxa"/>
            <w:shd w:val="clear" w:color="auto" w:fill="auto"/>
          </w:tcPr>
          <w:p w14:paraId="7447A444"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data derived from an analysis of the Comparable Rates and/or the Comparable Deliverables (as applicable) provided by the Comparison Group;</w:t>
            </w:r>
          </w:p>
        </w:tc>
      </w:tr>
      <w:tr w:rsidR="00DF3058" w14:paraId="7447A448" w14:textId="77777777">
        <w:tc>
          <w:tcPr>
            <w:tcW w:w="2900" w:type="dxa"/>
            <w:shd w:val="clear" w:color="auto" w:fill="auto"/>
          </w:tcPr>
          <w:p w14:paraId="7447A446"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"Good Value"</w:t>
            </w:r>
          </w:p>
        </w:tc>
        <w:tc>
          <w:tcPr>
            <w:tcW w:w="5142" w:type="dxa"/>
            <w:shd w:val="clear" w:color="auto" w:fill="auto"/>
          </w:tcPr>
          <w:p w14:paraId="7447A447"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that the Benchmarked Rates are within the Upper Quartile; and</w:t>
            </w:r>
          </w:p>
        </w:tc>
      </w:tr>
      <w:tr w:rsidR="00DF3058" w14:paraId="7447A44B" w14:textId="77777777">
        <w:tc>
          <w:tcPr>
            <w:tcW w:w="2900" w:type="dxa"/>
            <w:shd w:val="clear" w:color="auto" w:fill="auto"/>
          </w:tcPr>
          <w:p w14:paraId="7447A449" w14:textId="77777777" w:rsidR="00DF3058" w:rsidRDefault="00811D9C">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"Upper Quartile"</w:t>
            </w:r>
          </w:p>
        </w:tc>
        <w:tc>
          <w:tcPr>
            <w:tcW w:w="5142" w:type="dxa"/>
            <w:shd w:val="clear" w:color="auto" w:fill="auto"/>
          </w:tcPr>
          <w:p w14:paraId="7447A44A" w14:textId="77777777" w:rsidR="00DF3058" w:rsidRDefault="00811D9C">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proofErr w:type="gramStart"/>
            <w:r>
              <w:rPr>
                <w:rFonts w:ascii="Arial" w:eastAsia="Arial" w:hAnsi="Arial"/>
                <w:color w:val="000000"/>
                <w:sz w:val="24"/>
                <w:szCs w:val="24"/>
              </w:rPr>
              <w:t>in</w:t>
            </w:r>
            <w:proofErr w:type="gramEnd"/>
            <w:r>
              <w:rPr>
                <w:rFonts w:ascii="Arial" w:eastAsia="Arial" w:hAnsi="Arial"/>
                <w:color w:val="000000"/>
                <w:sz w:val="24"/>
                <w:szCs w:val="24"/>
              </w:rPr>
              <w:t xml:space="preserve">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7447A44C" w14:textId="77777777" w:rsidR="00DF3058" w:rsidRDefault="00811D9C">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14:paraId="7447A44D" w14:textId="77777777" w:rsidR="00DF3058" w:rsidRDefault="00811D9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14:paraId="7447A44E" w14:textId="77777777" w:rsidR="00DF3058" w:rsidRDefault="00811D9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14:paraId="7447A44F" w14:textId="77777777" w:rsidR="00DF3058" w:rsidRDefault="00811D9C">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of a Cost.</w:t>
      </w:r>
    </w:p>
    <w:p w14:paraId="7447A450" w14:textId="77777777" w:rsidR="00DF3058" w:rsidRDefault="00811D9C">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14:paraId="7447A451" w14:textId="77777777" w:rsidR="00DF3058" w:rsidRDefault="00811D9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14:paraId="7447A452"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7447A453"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14:paraId="7447A454"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7447A455"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14:paraId="7447A456"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Benchmarked Deliverables will be identified by the Buyer in writing.</w:t>
      </w:r>
    </w:p>
    <w:p w14:paraId="7447A457"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14:paraId="7447A458"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w:t>
      </w:r>
      <w:r>
        <w:rPr>
          <w:rFonts w:ascii="Arial" w:eastAsia="Arial" w:hAnsi="Arial"/>
          <w:color w:val="000000"/>
          <w:sz w:val="24"/>
          <w:szCs w:val="24"/>
        </w:rPr>
        <w:lastRenderedPageBreak/>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raised against the Supplier and the relevant portion shall be reimbursed by the Buyer.</w:t>
      </w:r>
    </w:p>
    <w:p w14:paraId="7447A459" w14:textId="77777777" w:rsidR="00DF3058" w:rsidRDefault="00811D9C">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14:paraId="7447A45A" w14:textId="77777777" w:rsidR="00DF3058" w:rsidRDefault="00811D9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14:paraId="7447A45B"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14:paraId="7447A45C"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14:paraId="7447A45D"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w:t>
      </w:r>
      <w:proofErr w:type="gramEnd"/>
      <w:r>
        <w:rPr>
          <w:rFonts w:ascii="Arial" w:eastAsia="Arial" w:hAnsi="Arial"/>
          <w:color w:val="000000"/>
          <w:sz w:val="24"/>
          <w:szCs w:val="24"/>
        </w:rPr>
        <w:t xml:space="preserve"> description of how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will scope and identify the Comparison Group. </w:t>
      </w:r>
    </w:p>
    <w:p w14:paraId="7447A45E"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14:paraId="7447A45F"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14:paraId="7447A460"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both Parties have approved the draft plan then they will notify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14:paraId="7447A461" w14:textId="77777777" w:rsidR="00DF3058" w:rsidRDefault="00811D9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14:paraId="7447A462"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finalise</w:t>
      </w:r>
      <w:proofErr w:type="gramEnd"/>
      <w:r>
        <w:rPr>
          <w:rFonts w:ascii="Arial" w:eastAsia="Arial" w:hAnsi="Arial"/>
          <w:color w:val="000000"/>
          <w:sz w:val="24"/>
          <w:szCs w:val="24"/>
        </w:rPr>
        <w:t xml:space="preserve"> the Comparison Group and collect data relating to Comparable Rates. The selection of the Comparable Rates (both in terms of number and identity) shall be a matter for the Supplier's professional judgment using:</w:t>
      </w:r>
    </w:p>
    <w:p w14:paraId="7447A463" w14:textId="77777777" w:rsidR="00DF3058" w:rsidRDefault="00811D9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14:paraId="7447A464" w14:textId="77777777" w:rsidR="00DF3058" w:rsidRDefault="00811D9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benchmarker’s</w:t>
      </w:r>
      <w:proofErr w:type="spellEnd"/>
      <w:r>
        <w:rPr>
          <w:rFonts w:ascii="Arial" w:eastAsia="Arial" w:hAnsi="Arial"/>
          <w:color w:val="000000"/>
          <w:sz w:val="24"/>
          <w:szCs w:val="24"/>
        </w:rPr>
        <w:t xml:space="preserve"> own data and experience;</w:t>
      </w:r>
    </w:p>
    <w:p w14:paraId="7447A465" w14:textId="77777777" w:rsidR="00DF3058" w:rsidRDefault="00811D9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14:paraId="7447A466" w14:textId="77777777" w:rsidR="00DF3058" w:rsidRDefault="00811D9C">
      <w:pPr>
        <w:numPr>
          <w:ilvl w:val="4"/>
          <w:numId w:val="2"/>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pursuant to Paragraph 3.2.6  below, information from other suppliers or purchasers on Comparable Rates;</w:t>
      </w:r>
    </w:p>
    <w:p w14:paraId="7447A467"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the Comparable Rates, derive the Equivalent Data;</w:t>
      </w:r>
    </w:p>
    <w:p w14:paraId="7447A468"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using the Equivalent Data, calculate the Upper Quartile;</w:t>
      </w:r>
    </w:p>
    <w:p w14:paraId="7447A469"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lastRenderedPageBreak/>
        <w:t>determine</w:t>
      </w:r>
      <w:proofErr w:type="gramEnd"/>
      <w:r>
        <w:rPr>
          <w:rFonts w:ascii="Arial" w:eastAsia="Arial" w:hAnsi="Arial"/>
          <w:color w:val="000000"/>
          <w:sz w:val="24"/>
          <w:szCs w:val="24"/>
        </w:rPr>
        <w:t xml:space="preserve"> whether or not each Benchmarked Rate is, and/or the Benchmarked Rates as a whole are, Good Value.</w:t>
      </w:r>
    </w:p>
    <w:p w14:paraId="7447A46A"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suppliers or purchasers on Comparable Rates.</w:t>
      </w:r>
    </w:p>
    <w:p w14:paraId="7447A46B" w14:textId="77777777" w:rsidR="00DF3058" w:rsidRDefault="00811D9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 Data:</w:t>
      </w:r>
    </w:p>
    <w:p w14:paraId="7447A46C"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14:paraId="7447A46D"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14:paraId="7447A46E"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other factors reasonably identified by the Supplier, which, if not taken into consideration, could unfairly cause the Supplier's pricing to appear non-competitive.</w:t>
      </w:r>
    </w:p>
    <w:p w14:paraId="7447A46F" w14:textId="77777777" w:rsidR="00DF3058" w:rsidRDefault="00811D9C">
      <w:pPr>
        <w:keepNext/>
        <w:numPr>
          <w:ilvl w:val="1"/>
          <w:numId w:val="2"/>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14:paraId="7447A470"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14:paraId="7447A471" w14:textId="77777777" w:rsidR="00DF3058" w:rsidRDefault="00811D9C">
      <w:pPr>
        <w:keepNext/>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pursuant to Paragraph 3.2.3, setting out its findings.  Those findings shall be required to:</w:t>
      </w:r>
    </w:p>
    <w:p w14:paraId="7447A472"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14:paraId="7447A473"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7447A474" w14:textId="77777777" w:rsidR="00DF3058" w:rsidRDefault="00811D9C">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include</w:t>
      </w:r>
      <w:proofErr w:type="gramEnd"/>
      <w:r>
        <w:rPr>
          <w:rFonts w:ascii="Arial" w:eastAsia="Arial" w:hAnsi="Arial"/>
          <w:color w:val="000000"/>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7447A475" w14:textId="77777777" w:rsidR="00DF3058" w:rsidRDefault="00811D9C">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DF305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r>
        <w:rPr>
          <w:rFonts w:ascii="Arial" w:eastAsia="Arial" w:hAnsi="Arial"/>
          <w:color w:val="000000"/>
          <w:sz w:val="24"/>
          <w:szCs w:val="24"/>
        </w:rPr>
        <w:t>The Parties agree that any changes required to this Contract identified in the Benchmarking Report shall be implemented at the direction of the Buyer in accordance with Clause 24 (Changing the contract).</w:t>
      </w:r>
    </w:p>
    <w:p w14:paraId="7447A476" w14:textId="77777777" w:rsidR="00DF3058" w:rsidRDefault="00DF3058">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DF3058">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47A479" w14:textId="77777777" w:rsidR="007B02FC" w:rsidRDefault="007B02FC">
      <w:pPr>
        <w:spacing w:after="0"/>
      </w:pPr>
      <w:r>
        <w:separator/>
      </w:r>
    </w:p>
  </w:endnote>
  <w:endnote w:type="continuationSeparator" w:id="0">
    <w:p w14:paraId="7447A47A" w14:textId="77777777" w:rsidR="007B02FC" w:rsidRDefault="007B0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A481" w14:textId="77777777" w:rsidR="00DF3058" w:rsidRDefault="00DF3058">
    <w:pPr>
      <w:tabs>
        <w:tab w:val="center" w:pos="4513"/>
        <w:tab w:val="right" w:pos="9026"/>
      </w:tabs>
      <w:spacing w:after="0"/>
      <w:rPr>
        <w:rFonts w:ascii="Arial" w:eastAsia="Arial" w:hAnsi="Arial"/>
        <w:sz w:val="20"/>
        <w:szCs w:val="20"/>
      </w:rPr>
    </w:pPr>
  </w:p>
  <w:p w14:paraId="7447A482" w14:textId="77777777" w:rsidR="00DF3058" w:rsidRDefault="00811D9C">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RM6146 Leasing Advisory Services </w:t>
    </w:r>
  </w:p>
  <w:p w14:paraId="7447A483" w14:textId="362992BB" w:rsidR="00DF3058" w:rsidRDefault="00811D9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057A59">
      <w:rPr>
        <w:rFonts w:ascii="Arial" w:eastAsia="Arial" w:hAnsi="Arial"/>
        <w:noProof/>
        <w:color w:val="000000"/>
        <w:sz w:val="20"/>
        <w:szCs w:val="20"/>
      </w:rPr>
      <w:t>5</w:t>
    </w:r>
    <w:r>
      <w:rPr>
        <w:rFonts w:ascii="Arial" w:eastAsia="Arial" w:hAnsi="Arial"/>
        <w:color w:val="000000"/>
        <w:sz w:val="20"/>
        <w:szCs w:val="20"/>
      </w:rPr>
      <w:fldChar w:fldCharType="end"/>
    </w:r>
  </w:p>
  <w:p w14:paraId="7447A484" w14:textId="77777777" w:rsidR="00DF3058" w:rsidRDefault="00811D9C">
    <w:pPr>
      <w:tabs>
        <w:tab w:val="center" w:pos="4513"/>
        <w:tab w:val="right" w:pos="9026"/>
      </w:tabs>
      <w:spacing w:after="0"/>
    </w:pPr>
    <w:r>
      <w:rPr>
        <w:rFonts w:ascii="Arial" w:eastAsia="Arial" w:hAnsi="Arial"/>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A486" w14:textId="77777777" w:rsidR="00DF3058" w:rsidRDefault="00811D9C">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t xml:space="preserve">                                           </w:t>
    </w:r>
  </w:p>
  <w:p w14:paraId="7447A487" w14:textId="77777777" w:rsidR="00DF3058" w:rsidRDefault="00811D9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14:paraId="7447A488" w14:textId="77777777" w:rsidR="00DF3058" w:rsidRDefault="00811D9C">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7A477" w14:textId="77777777" w:rsidR="007B02FC" w:rsidRDefault="007B02FC">
      <w:pPr>
        <w:spacing w:after="0"/>
      </w:pPr>
      <w:r>
        <w:separator/>
      </w:r>
    </w:p>
  </w:footnote>
  <w:footnote w:type="continuationSeparator" w:id="0">
    <w:p w14:paraId="7447A478" w14:textId="77777777" w:rsidR="007B02FC" w:rsidRDefault="007B0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A47C" w14:textId="77777777" w:rsidR="00DF3058" w:rsidRDefault="00811D9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14:paraId="7447A47D" w14:textId="77777777" w:rsidR="00DF3058" w:rsidRDefault="00811D9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7447A47E" w14:textId="2DC87949" w:rsidR="00DF3058" w:rsidRDefault="00057A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2020</w:t>
    </w:r>
  </w:p>
  <w:p w14:paraId="7447A47F" w14:textId="77777777" w:rsidR="00DF3058" w:rsidRDefault="00DF3058">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A485" w14:textId="77777777" w:rsidR="00DF3058" w:rsidRDefault="00811D9C">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14:anchorId="7447A489" wp14:editId="7447A48A">
          <wp:simplePos x="0" y="0"/>
          <wp:positionH relativeFrom="column">
            <wp:posOffset>5714365</wp:posOffset>
          </wp:positionH>
          <wp:positionV relativeFrom="paragraph">
            <wp:posOffset>-13333</wp:posOffset>
          </wp:positionV>
          <wp:extent cx="849085" cy="685627"/>
          <wp:effectExtent l="0" t="0" r="0" b="0"/>
          <wp:wrapNone/>
          <wp:docPr id="3"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7FD0"/>
    <w:multiLevelType w:val="multilevel"/>
    <w:tmpl w:val="24F65D38"/>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9A608B1"/>
    <w:multiLevelType w:val="multilevel"/>
    <w:tmpl w:val="50764EA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058"/>
    <w:rsid w:val="00057A59"/>
    <w:rsid w:val="001F4443"/>
    <w:rsid w:val="00313FF6"/>
    <w:rsid w:val="007B02FC"/>
    <w:rsid w:val="00811D9C"/>
    <w:rsid w:val="008B7FF3"/>
    <w:rsid w:val="00A370FE"/>
    <w:rsid w:val="00DF30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47A431"/>
  <w15:docId w15:val="{DA7DDB2C-475C-43AD-B012-B9171CF6A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0hFwJTK7hbZbZsFxLYoVn1dOFA==">AMUW2mX24QgZQOnsfKy7DUNdYLgozZ/ztz897V4NtT4EtKWu8gsm12K4wKbKr4zhp5/DP9f3KdQfI41e8Ao6XDo4NZ+e3UfohEZQ3Tw99+lEgKObywwrSBwIlH9jV0xQGWj0AHDLtmjFBxmVBcXKrKH0Q47NC8DQ2l+5s3HC37coFUbWL4ljdGbxSdU9SDh8Wp9WyfAPdE7w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2020-07-23T17:49:00Z</cp:lastPrinted>
  <dcterms:created xsi:type="dcterms:W3CDTF">2018-07-23T07:42:00Z</dcterms:created>
  <dcterms:modified xsi:type="dcterms:W3CDTF">2020-08-14T13:24:00Z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